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880" w:firstLineChars="200"/>
        <w:jc w:val="center"/>
        <w:rPr>
          <w:rFonts w:ascii="方正小标宋_GBK" w:hAnsi="华文中宋" w:eastAsia="方正小标宋_GBK" w:cs="华文中宋"/>
          <w:sz w:val="44"/>
          <w:szCs w:val="44"/>
        </w:rPr>
      </w:pPr>
      <w:bookmarkStart w:id="0" w:name="_Hlk137199901"/>
    </w:p>
    <w:p>
      <w:pPr>
        <w:spacing w:line="590" w:lineRule="exact"/>
        <w:ind w:firstLine="880" w:firstLineChars="200"/>
        <w:jc w:val="center"/>
        <w:rPr>
          <w:rFonts w:ascii="方正小标宋_GBK" w:hAnsi="华文中宋" w:eastAsia="方正小标宋_GBK" w:cs="华文中宋"/>
          <w:sz w:val="44"/>
          <w:szCs w:val="44"/>
        </w:rPr>
      </w:pPr>
    </w:p>
    <w:p>
      <w:pPr>
        <w:spacing w:line="590" w:lineRule="exact"/>
        <w:jc w:val="center"/>
        <w:rPr>
          <w:rFonts w:ascii="方正小标宋_GBK" w:hAnsi="华文中宋" w:eastAsia="方正小标宋_GBK" w:cs="华文中宋"/>
          <w:sz w:val="44"/>
          <w:szCs w:val="44"/>
        </w:rPr>
      </w:pPr>
    </w:p>
    <w:p>
      <w:pPr>
        <w:spacing w:line="59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安徽省科技评估与监管中心</w:t>
      </w:r>
      <w:r>
        <w:rPr>
          <w:rFonts w:hint="eastAsia" w:ascii="Times New Roman" w:hAnsi="Times New Roman" w:eastAsia="方正小标宋_GBK" w:cs="华文中宋"/>
          <w:sz w:val="44"/>
          <w:szCs w:val="44"/>
        </w:rPr>
        <w:t>2023</w:t>
      </w:r>
      <w:r>
        <w:rPr>
          <w:rFonts w:hint="eastAsia" w:ascii="方正小标宋_GBK" w:hAnsi="华文中宋" w:eastAsia="方正小标宋_GBK" w:cs="华文中宋"/>
          <w:sz w:val="44"/>
          <w:szCs w:val="44"/>
        </w:rPr>
        <w:t>年度</w:t>
      </w:r>
    </w:p>
    <w:p>
      <w:pPr>
        <w:spacing w:line="59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公开招聘人员资格复审的通知</w:t>
      </w:r>
    </w:p>
    <w:bookmarkEnd w:id="0"/>
    <w:p>
      <w:pPr>
        <w:spacing w:line="590" w:lineRule="exact"/>
        <w:ind w:firstLine="640" w:firstLineChars="200"/>
        <w:jc w:val="left"/>
        <w:rPr>
          <w:rFonts w:ascii="方正仿宋_GBK" w:hAnsi="宋体" w:eastAsia="方正仿宋_GBK" w:cs="宋体"/>
          <w:kern w:val="0"/>
          <w:sz w:val="32"/>
          <w:szCs w:val="32"/>
        </w:rPr>
      </w:pPr>
    </w:p>
    <w:p>
      <w:pPr>
        <w:spacing w:line="59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根据省委组织部、省人力资源和社会保障厅《关于印发</w:t>
      </w:r>
      <w:r>
        <w:rPr>
          <w:rFonts w:hint="eastAsia" w:ascii="Times New Roman" w:hAnsi="Times New Roman" w:eastAsia="方正仿宋_GBK" w:cs="宋体"/>
          <w:kern w:val="0"/>
          <w:sz w:val="32"/>
          <w:szCs w:val="32"/>
        </w:rPr>
        <w:t>2023</w:t>
      </w:r>
      <w:r>
        <w:rPr>
          <w:rFonts w:hint="eastAsia" w:ascii="方正仿宋_GBK" w:hAnsi="宋体" w:eastAsia="方正仿宋_GBK" w:cs="宋体"/>
          <w:kern w:val="0"/>
          <w:sz w:val="32"/>
          <w:szCs w:val="32"/>
        </w:rPr>
        <w:t>年度安徽省省直事业单位统一笔试公开招聘工作人员实施方案的通知》（皖人社秘〔</w:t>
      </w:r>
      <w:r>
        <w:rPr>
          <w:rFonts w:hint="eastAsia" w:ascii="Times New Roman" w:hAnsi="Times New Roman" w:eastAsia="方正仿宋_GBK" w:cs="宋体"/>
          <w:kern w:val="0"/>
          <w:sz w:val="32"/>
          <w:szCs w:val="32"/>
        </w:rPr>
        <w:t>2023</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52</w:t>
      </w:r>
      <w:r>
        <w:rPr>
          <w:rFonts w:hint="eastAsia" w:ascii="方正仿宋_GBK" w:hAnsi="宋体" w:eastAsia="方正仿宋_GBK" w:cs="宋体"/>
          <w:kern w:val="0"/>
          <w:sz w:val="32"/>
          <w:szCs w:val="32"/>
        </w:rPr>
        <w:t>号）《关于做好</w:t>
      </w:r>
      <w:r>
        <w:rPr>
          <w:rFonts w:hint="eastAsia" w:ascii="Times New Roman" w:hAnsi="Times New Roman" w:eastAsia="方正仿宋_GBK" w:cs="宋体"/>
          <w:kern w:val="0"/>
          <w:sz w:val="32"/>
          <w:szCs w:val="32"/>
        </w:rPr>
        <w:t>2023</w:t>
      </w:r>
      <w:r>
        <w:rPr>
          <w:rFonts w:hint="eastAsia" w:ascii="方正仿宋_GBK" w:hAnsi="宋体" w:eastAsia="方正仿宋_GBK" w:cs="宋体"/>
          <w:kern w:val="0"/>
          <w:sz w:val="32"/>
          <w:szCs w:val="32"/>
        </w:rPr>
        <w:t>年度省直事业单位公开招聘笔试后有关工作的通知》等要求，结合本单位实际，现将安徽省科技评估与监管中心</w:t>
      </w:r>
      <w:r>
        <w:rPr>
          <w:rFonts w:hint="eastAsia" w:ascii="Times New Roman" w:hAnsi="Times New Roman" w:eastAsia="方正仿宋_GBK" w:cs="宋体"/>
          <w:kern w:val="0"/>
          <w:sz w:val="32"/>
          <w:szCs w:val="32"/>
        </w:rPr>
        <w:t>2023</w:t>
      </w:r>
      <w:r>
        <w:rPr>
          <w:rFonts w:hint="eastAsia" w:ascii="方正仿宋_GBK" w:hAnsi="宋体" w:eastAsia="方正仿宋_GBK" w:cs="宋体"/>
          <w:kern w:val="0"/>
          <w:sz w:val="32"/>
          <w:szCs w:val="32"/>
        </w:rPr>
        <w:t>年公开招聘工作人员资格复审有关事项通知如下：</w:t>
      </w:r>
    </w:p>
    <w:p>
      <w:pPr>
        <w:spacing w:line="590" w:lineRule="exact"/>
        <w:ind w:firstLine="640" w:firstLineChars="200"/>
        <w:jc w:val="left"/>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一、确定资格复审人员</w:t>
      </w:r>
    </w:p>
    <w:p>
      <w:pPr>
        <w:spacing w:line="59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根据应聘人员统考笔试成绩从高分到低分的顺序，根据招聘岗位计划数，按照</w:t>
      </w:r>
      <w:r>
        <w:rPr>
          <w:rFonts w:hint="eastAsia" w:ascii="Times New Roman" w:hAnsi="Times New Roman" w:eastAsia="方正仿宋_GBK" w:cs="宋体"/>
          <w:kern w:val="0"/>
          <w:sz w:val="32"/>
          <w:szCs w:val="32"/>
        </w:rPr>
        <w:t>5</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1</w:t>
      </w:r>
      <w:r>
        <w:rPr>
          <w:rFonts w:hint="eastAsia" w:ascii="方正仿宋_GBK" w:hAnsi="宋体" w:eastAsia="方正仿宋_GBK" w:cs="宋体"/>
          <w:kern w:val="0"/>
          <w:sz w:val="32"/>
          <w:szCs w:val="32"/>
        </w:rPr>
        <w:t>比例确定各岗位参加专业测试的人员名单，并进行资格复审。最后一名如有数名考生笔试成绩相同的，一并确定为参加资格复审人员（名单附后）。</w:t>
      </w:r>
    </w:p>
    <w:p>
      <w:pPr>
        <w:spacing w:line="590" w:lineRule="exact"/>
        <w:ind w:firstLine="640" w:firstLineChars="200"/>
        <w:jc w:val="left"/>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二、资格复审时间和地点</w:t>
      </w:r>
    </w:p>
    <w:p>
      <w:pPr>
        <w:spacing w:line="590" w:lineRule="exact"/>
        <w:ind w:firstLine="640" w:firstLineChars="200"/>
        <w:jc w:val="left"/>
        <w:rPr>
          <w:rFonts w:ascii="方正仿宋_GBK" w:hAnsi="宋体" w:eastAsia="方正仿宋_GBK" w:cs="宋体"/>
          <w:kern w:val="0"/>
          <w:sz w:val="32"/>
          <w:szCs w:val="32"/>
        </w:rPr>
      </w:pPr>
      <w:r>
        <w:rPr>
          <w:rFonts w:hint="eastAsia" w:ascii="Times New Roman" w:hAnsi="Times New Roman" w:eastAsia="方正仿宋_GBK" w:cs="宋体"/>
          <w:kern w:val="0"/>
          <w:sz w:val="32"/>
          <w:szCs w:val="32"/>
        </w:rPr>
        <w:t>1</w:t>
      </w:r>
      <w:r>
        <w:rPr>
          <w:rFonts w:hint="eastAsia" w:ascii="方正仿宋_GBK" w:hAnsi="宋体" w:eastAsia="方正仿宋_GBK" w:cs="宋体"/>
          <w:kern w:val="0"/>
          <w:sz w:val="32"/>
          <w:szCs w:val="32"/>
        </w:rPr>
        <w:t>.复审时间：</w:t>
      </w:r>
      <w:r>
        <w:rPr>
          <w:rFonts w:hint="eastAsia" w:ascii="Times New Roman" w:hAnsi="Times New Roman" w:eastAsia="方正仿宋_GBK" w:cs="宋体"/>
          <w:kern w:val="0"/>
          <w:sz w:val="32"/>
          <w:szCs w:val="32"/>
        </w:rPr>
        <w:t>2023</w:t>
      </w:r>
      <w:r>
        <w:rPr>
          <w:rFonts w:hint="eastAsia" w:ascii="方正仿宋_GBK" w:hAnsi="宋体" w:eastAsia="方正仿宋_GBK" w:cs="宋体"/>
          <w:kern w:val="0"/>
          <w:sz w:val="32"/>
          <w:szCs w:val="32"/>
        </w:rPr>
        <w:t>年</w:t>
      </w:r>
      <w:r>
        <w:rPr>
          <w:rFonts w:hint="eastAsia" w:ascii="Times New Roman" w:hAnsi="Times New Roman" w:eastAsia="方正仿宋_GBK" w:cs="宋体"/>
          <w:kern w:val="0"/>
          <w:sz w:val="32"/>
          <w:szCs w:val="32"/>
        </w:rPr>
        <w:t>6</w:t>
      </w:r>
      <w:r>
        <w:rPr>
          <w:rFonts w:hint="eastAsia" w:ascii="方正仿宋_GBK" w:hAnsi="宋体" w:eastAsia="方正仿宋_GBK" w:cs="宋体"/>
          <w:kern w:val="0"/>
          <w:sz w:val="32"/>
          <w:szCs w:val="32"/>
        </w:rPr>
        <w:t>月</w:t>
      </w:r>
      <w:r>
        <w:rPr>
          <w:rFonts w:hint="eastAsia" w:ascii="Times New Roman" w:hAnsi="Times New Roman" w:eastAsia="方正仿宋_GBK" w:cs="宋体"/>
          <w:kern w:val="0"/>
          <w:sz w:val="32"/>
          <w:szCs w:val="32"/>
        </w:rPr>
        <w:t>15</w:t>
      </w:r>
      <w:r>
        <w:rPr>
          <w:rFonts w:hint="eastAsia" w:ascii="方正仿宋_GBK" w:hAnsi="宋体" w:eastAsia="方正仿宋_GBK" w:cs="宋体"/>
          <w:kern w:val="0"/>
          <w:sz w:val="32"/>
          <w:szCs w:val="32"/>
        </w:rPr>
        <w:t>日至</w:t>
      </w:r>
      <w:r>
        <w:rPr>
          <w:rFonts w:hint="eastAsia" w:ascii="Times New Roman" w:hAnsi="Times New Roman" w:eastAsia="方正仿宋_GBK" w:cs="宋体"/>
          <w:kern w:val="0"/>
          <w:sz w:val="32"/>
          <w:szCs w:val="32"/>
        </w:rPr>
        <w:t>16</w:t>
      </w:r>
      <w:r>
        <w:rPr>
          <w:rFonts w:hint="eastAsia" w:ascii="方正仿宋_GBK" w:hAnsi="宋体" w:eastAsia="方正仿宋_GBK" w:cs="宋体"/>
          <w:kern w:val="0"/>
          <w:sz w:val="32"/>
          <w:szCs w:val="32"/>
        </w:rPr>
        <w:t>日，上午</w:t>
      </w:r>
      <w:r>
        <w:rPr>
          <w:rFonts w:hint="eastAsia" w:ascii="Times New Roman" w:hAnsi="Times New Roman" w:eastAsia="方正仿宋_GBK" w:cs="宋体"/>
          <w:kern w:val="0"/>
          <w:sz w:val="32"/>
          <w:szCs w:val="32"/>
        </w:rPr>
        <w:t>9</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00</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11</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30</w:t>
      </w:r>
      <w:r>
        <w:rPr>
          <w:rFonts w:hint="eastAsia" w:ascii="方正仿宋_GBK" w:hAnsi="宋体" w:eastAsia="方正仿宋_GBK" w:cs="宋体"/>
          <w:kern w:val="0"/>
          <w:sz w:val="32"/>
          <w:szCs w:val="32"/>
        </w:rPr>
        <w:t>，下午</w:t>
      </w:r>
      <w:r>
        <w:rPr>
          <w:rFonts w:hint="eastAsia" w:ascii="Times New Roman" w:hAnsi="Times New Roman" w:eastAsia="方正仿宋_GBK" w:cs="宋体"/>
          <w:kern w:val="0"/>
          <w:sz w:val="32"/>
          <w:szCs w:val="32"/>
        </w:rPr>
        <w:t>14</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00</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17</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00</w:t>
      </w:r>
      <w:r>
        <w:rPr>
          <w:rFonts w:hint="eastAsia" w:ascii="方正仿宋_GBK" w:hAnsi="宋体" w:eastAsia="方正仿宋_GBK" w:cs="宋体"/>
          <w:kern w:val="0"/>
          <w:sz w:val="32"/>
          <w:szCs w:val="32"/>
        </w:rPr>
        <w:t>。逾期视为自动放弃。</w:t>
      </w:r>
    </w:p>
    <w:p>
      <w:pPr>
        <w:spacing w:line="590" w:lineRule="exact"/>
        <w:ind w:firstLine="640" w:firstLineChars="200"/>
        <w:jc w:val="left"/>
        <w:rPr>
          <w:rFonts w:ascii="方正仿宋_GBK" w:hAnsi="宋体" w:eastAsia="方正仿宋_GBK" w:cs="宋体"/>
          <w:kern w:val="0"/>
          <w:sz w:val="32"/>
          <w:szCs w:val="32"/>
        </w:rPr>
      </w:pPr>
      <w:r>
        <w:rPr>
          <w:rFonts w:hint="eastAsia" w:ascii="Times New Roman" w:hAnsi="Times New Roman" w:eastAsia="方正仿宋_GBK" w:cs="宋体"/>
          <w:kern w:val="0"/>
          <w:sz w:val="32"/>
          <w:szCs w:val="32"/>
        </w:rPr>
        <w:t>2</w:t>
      </w:r>
      <w:r>
        <w:rPr>
          <w:rFonts w:hint="eastAsia" w:ascii="方正仿宋_GBK" w:hAnsi="宋体" w:eastAsia="方正仿宋_GBK" w:cs="宋体"/>
          <w:kern w:val="0"/>
          <w:sz w:val="32"/>
          <w:szCs w:val="32"/>
        </w:rPr>
        <w:t>.地点：安徽省科技评估与监管中心（合肥市黄山路</w:t>
      </w:r>
      <w:r>
        <w:rPr>
          <w:rFonts w:hint="eastAsia" w:ascii="Times New Roman" w:hAnsi="Times New Roman" w:eastAsia="方正仿宋_GBK" w:cs="宋体"/>
          <w:kern w:val="0"/>
          <w:sz w:val="32"/>
          <w:szCs w:val="32"/>
        </w:rPr>
        <w:t>601</w:t>
      </w:r>
      <w:r>
        <w:rPr>
          <w:rFonts w:hint="eastAsia" w:ascii="方正仿宋_GBK" w:hAnsi="宋体" w:eastAsia="方正仿宋_GBK" w:cs="宋体"/>
          <w:kern w:val="0"/>
          <w:sz w:val="32"/>
          <w:szCs w:val="32"/>
        </w:rPr>
        <w:t>号科技创新公共服务中心大楼）</w:t>
      </w:r>
      <w:r>
        <w:rPr>
          <w:rFonts w:hint="eastAsia" w:ascii="Times New Roman" w:hAnsi="Times New Roman" w:eastAsia="方正仿宋_GBK" w:cs="宋体"/>
          <w:kern w:val="0"/>
          <w:sz w:val="32"/>
          <w:szCs w:val="32"/>
        </w:rPr>
        <w:t>6</w:t>
      </w:r>
      <w:r>
        <w:rPr>
          <w:rFonts w:hint="eastAsia" w:ascii="方正仿宋_GBK" w:hAnsi="宋体" w:eastAsia="方正仿宋_GBK" w:cs="宋体"/>
          <w:kern w:val="0"/>
          <w:sz w:val="32"/>
          <w:szCs w:val="32"/>
        </w:rPr>
        <w:t>楼</w:t>
      </w:r>
      <w:r>
        <w:rPr>
          <w:rFonts w:hint="eastAsia" w:ascii="Times New Roman" w:hAnsi="Times New Roman" w:eastAsia="方正仿宋_GBK" w:cs="宋体"/>
          <w:kern w:val="0"/>
          <w:sz w:val="32"/>
          <w:szCs w:val="32"/>
        </w:rPr>
        <w:t>607</w:t>
      </w:r>
      <w:r>
        <w:rPr>
          <w:rFonts w:hint="eastAsia" w:ascii="方正仿宋_GBK" w:hAnsi="宋体" w:eastAsia="方正仿宋_GBK" w:cs="宋体"/>
          <w:kern w:val="0"/>
          <w:sz w:val="32"/>
          <w:szCs w:val="32"/>
        </w:rPr>
        <w:t>室。</w:t>
      </w:r>
    </w:p>
    <w:p>
      <w:pPr>
        <w:spacing w:line="59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乘车路线：乘</w:t>
      </w:r>
      <w:r>
        <w:rPr>
          <w:rFonts w:hint="eastAsia" w:ascii="Times New Roman" w:hAnsi="Times New Roman" w:eastAsia="方正仿宋_GBK" w:cs="宋体"/>
          <w:kern w:val="0"/>
          <w:sz w:val="32"/>
          <w:szCs w:val="32"/>
        </w:rPr>
        <w:t>10</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20</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118</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158</w:t>
      </w:r>
      <w:r>
        <w:rPr>
          <w:rFonts w:hint="eastAsia" w:ascii="方正仿宋_GBK" w:hAnsi="宋体" w:eastAsia="方正仿宋_GBK" w:cs="宋体"/>
          <w:kern w:val="0"/>
          <w:sz w:val="32"/>
          <w:szCs w:val="32"/>
        </w:rPr>
        <w:t>路公交车至科大创新（公交站）。</w:t>
      </w:r>
    </w:p>
    <w:p>
      <w:pPr>
        <w:spacing w:line="59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联系电话:马静 </w:t>
      </w:r>
      <w:r>
        <w:rPr>
          <w:rFonts w:hint="eastAsia" w:ascii="Times New Roman" w:hAnsi="Times New Roman" w:eastAsia="方正仿宋_GBK" w:cs="宋体"/>
          <w:kern w:val="0"/>
          <w:sz w:val="32"/>
          <w:szCs w:val="32"/>
        </w:rPr>
        <w:t>0551</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65670805</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15212786651</w:t>
      </w:r>
      <w:r>
        <w:rPr>
          <w:rFonts w:hint="eastAsia" w:ascii="方正仿宋_GBK" w:hAnsi="宋体" w:eastAsia="方正仿宋_GBK" w:cs="宋体"/>
          <w:kern w:val="0"/>
          <w:sz w:val="32"/>
          <w:szCs w:val="32"/>
        </w:rPr>
        <w:t>。</w:t>
      </w:r>
    </w:p>
    <w:p>
      <w:pPr>
        <w:spacing w:line="590" w:lineRule="exact"/>
        <w:ind w:firstLine="640" w:firstLineChars="200"/>
        <w:jc w:val="left"/>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三、资格复审要求</w:t>
      </w:r>
    </w:p>
    <w:p>
      <w:pPr>
        <w:adjustRightInd w:val="0"/>
        <w:spacing w:line="59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资格复审时，报考人员应提供本人有效居民身份证原件、学历（学位）证书、招聘岗位规定要求的相关证书、证明等原件和报名资格审查表等材料。其中：</w:t>
      </w:r>
    </w:p>
    <w:p>
      <w:pPr>
        <w:pStyle w:val="6"/>
        <w:widowControl/>
        <w:spacing w:beforeAutospacing="0" w:afterAutospacing="0" w:line="590" w:lineRule="exact"/>
        <w:ind w:firstLine="640" w:firstLineChars="200"/>
        <w:jc w:val="both"/>
        <w:rPr>
          <w:rFonts w:ascii="方正仿宋_GBK" w:hAnsi="宋体" w:eastAsia="方正仿宋_GBK" w:cs="宋体"/>
          <w:sz w:val="32"/>
          <w:szCs w:val="32"/>
        </w:rPr>
      </w:pPr>
      <w:r>
        <w:rPr>
          <w:rFonts w:hint="eastAsia" w:ascii="Times New Roman" w:hAnsi="Times New Roman" w:eastAsia="方正仿宋_GBK" w:cs="宋体"/>
          <w:sz w:val="32"/>
          <w:szCs w:val="32"/>
        </w:rPr>
        <w:t>1</w:t>
      </w:r>
      <w:r>
        <w:rPr>
          <w:rFonts w:hint="eastAsia" w:ascii="方正仿宋_GBK" w:hAnsi="宋体" w:eastAsia="方正仿宋_GBK" w:cs="宋体"/>
          <w:sz w:val="32"/>
          <w:szCs w:val="32"/>
        </w:rPr>
        <w:t>.属全日制</w:t>
      </w:r>
      <w:r>
        <w:rPr>
          <w:rFonts w:hint="eastAsia" w:ascii="Times New Roman" w:hAnsi="Times New Roman" w:eastAsia="方正仿宋_GBK" w:cs="宋体"/>
          <w:sz w:val="32"/>
          <w:szCs w:val="32"/>
        </w:rPr>
        <w:t>2023</w:t>
      </w:r>
      <w:r>
        <w:rPr>
          <w:rFonts w:hint="eastAsia" w:ascii="方正仿宋_GBK" w:hAnsi="宋体" w:eastAsia="方正仿宋_GBK" w:cs="宋体"/>
          <w:sz w:val="32"/>
          <w:szCs w:val="32"/>
        </w:rPr>
        <w:t>年应届毕业生的，资格复审时尚未取得学历（学位）证书的人员，可凭学校或省、市教育主管部门出具的该学历层次、专业、毕业时间的毕业证书待发书面证明和有关证件（学生证等）材料办理资格复审。</w:t>
      </w:r>
    </w:p>
    <w:p>
      <w:pPr>
        <w:pStyle w:val="6"/>
        <w:widowControl/>
        <w:spacing w:beforeAutospacing="0" w:afterAutospacing="0" w:line="590" w:lineRule="exact"/>
        <w:ind w:firstLine="640" w:firstLineChars="200"/>
        <w:jc w:val="both"/>
        <w:rPr>
          <w:rFonts w:ascii="方正仿宋_GBK" w:hAnsi="宋体" w:eastAsia="方正仿宋_GBK" w:cs="宋体"/>
          <w:sz w:val="32"/>
          <w:szCs w:val="32"/>
        </w:rPr>
      </w:pPr>
      <w:r>
        <w:rPr>
          <w:rFonts w:hint="eastAsia" w:ascii="Times New Roman" w:hAnsi="Times New Roman" w:eastAsia="方正仿宋_GBK" w:cs="宋体"/>
          <w:sz w:val="32"/>
          <w:szCs w:val="32"/>
        </w:rPr>
        <w:t>2</w:t>
      </w:r>
      <w:r>
        <w:rPr>
          <w:rFonts w:hint="eastAsia" w:ascii="方正仿宋_GBK" w:hAnsi="宋体" w:eastAsia="方正仿宋_GBK" w:cs="宋体"/>
          <w:sz w:val="32"/>
          <w:szCs w:val="32"/>
        </w:rPr>
        <w:t>.属于国家规定的择业期内未落实工作单位报考“应届毕业生”岗位的，还须根据其身份，相应提供其档案等相关材料所在单位证明，以及本人关于在择业期内未落实工作单位的书面承诺等材料。</w:t>
      </w:r>
    </w:p>
    <w:p>
      <w:pPr>
        <w:pStyle w:val="6"/>
        <w:widowControl/>
        <w:spacing w:beforeAutospacing="0" w:afterAutospacing="0" w:line="590" w:lineRule="exact"/>
        <w:ind w:firstLine="640" w:firstLineChars="200"/>
        <w:jc w:val="both"/>
        <w:rPr>
          <w:rFonts w:ascii="方正仿宋_GBK" w:hAnsi="宋体" w:eastAsia="方正仿宋_GBK" w:cs="宋体"/>
          <w:sz w:val="32"/>
          <w:szCs w:val="32"/>
        </w:rPr>
      </w:pPr>
      <w:r>
        <w:rPr>
          <w:rFonts w:hint="eastAsia" w:ascii="Times New Roman" w:hAnsi="Times New Roman" w:eastAsia="方正仿宋_GBK" w:cs="宋体"/>
          <w:sz w:val="32"/>
          <w:szCs w:val="32"/>
        </w:rPr>
        <w:t>3</w:t>
      </w:r>
      <w:r>
        <w:rPr>
          <w:rFonts w:hint="eastAsia" w:ascii="方正仿宋_GBK" w:hAnsi="宋体" w:eastAsia="方正仿宋_GBK" w:cs="宋体"/>
          <w:sz w:val="32"/>
          <w:szCs w:val="32"/>
        </w:rPr>
        <w:t>.报考定向招聘“服务基层项目”人员，还须提供服务基层的证书（鉴定表），退役士兵须提供入伍通知书（或入伍批准存根复印件）、退役证明材料。</w:t>
      </w:r>
      <w:r>
        <w:rPr>
          <w:rFonts w:hint="eastAsia" w:ascii="Times New Roman" w:hAnsi="Times New Roman" w:eastAsia="方正仿宋_GBK" w:cs="宋体"/>
          <w:sz w:val="32"/>
          <w:szCs w:val="32"/>
        </w:rPr>
        <w:t>2023</w:t>
      </w:r>
      <w:r>
        <w:rPr>
          <w:rFonts w:hint="eastAsia" w:ascii="方正仿宋_GBK" w:hAnsi="宋体" w:eastAsia="方正仿宋_GBK" w:cs="宋体"/>
          <w:sz w:val="32"/>
          <w:szCs w:val="32"/>
        </w:rPr>
        <w:t>年服务期满的“服务基层项目”人员，提供证书（鉴定表）或相关证明材料。</w:t>
      </w:r>
    </w:p>
    <w:p>
      <w:pPr>
        <w:adjustRightInd w:val="0"/>
        <w:spacing w:line="590" w:lineRule="exact"/>
        <w:ind w:firstLine="640" w:firstLineChars="200"/>
        <w:jc w:val="left"/>
        <w:rPr>
          <w:rFonts w:ascii="方正仿宋_GBK" w:hAnsi="宋体" w:eastAsia="方正仿宋_GBK" w:cs="宋体"/>
          <w:kern w:val="0"/>
          <w:sz w:val="32"/>
          <w:szCs w:val="32"/>
        </w:rPr>
      </w:pPr>
      <w:r>
        <w:rPr>
          <w:rFonts w:hint="eastAsia" w:ascii="Times New Roman" w:hAnsi="Times New Roman" w:eastAsia="方正仿宋_GBK" w:cs="宋体"/>
          <w:kern w:val="0"/>
          <w:sz w:val="32"/>
          <w:szCs w:val="32"/>
        </w:rPr>
        <w:t>4</w:t>
      </w:r>
      <w:r>
        <w:rPr>
          <w:rFonts w:hint="eastAsia" w:ascii="方正仿宋_GBK" w:hAnsi="宋体" w:eastAsia="方正仿宋_GBK" w:cs="宋体"/>
          <w:kern w:val="0"/>
          <w:sz w:val="32"/>
          <w:szCs w:val="32"/>
        </w:rPr>
        <w:t>.机关、事业单位在编正式工作人员还须按干部人事管理权限提供单位和主管部门同意报考的证明。</w:t>
      </w:r>
    </w:p>
    <w:p>
      <w:pPr>
        <w:adjustRightInd w:val="0"/>
        <w:spacing w:line="590" w:lineRule="exact"/>
        <w:ind w:firstLine="640" w:firstLineChars="200"/>
        <w:jc w:val="left"/>
        <w:rPr>
          <w:rFonts w:ascii="方正仿宋_GBK" w:hAnsi="宋体" w:eastAsia="方正仿宋_GBK" w:cs="宋体"/>
          <w:kern w:val="0"/>
          <w:sz w:val="32"/>
          <w:szCs w:val="32"/>
        </w:rPr>
      </w:pPr>
      <w:r>
        <w:rPr>
          <w:rFonts w:hint="eastAsia" w:ascii="Times New Roman" w:hAnsi="Times New Roman" w:eastAsia="方正仿宋_GBK" w:cs="宋体"/>
          <w:kern w:val="0"/>
          <w:sz w:val="32"/>
          <w:szCs w:val="32"/>
        </w:rPr>
        <w:t>5</w:t>
      </w:r>
      <w:r>
        <w:rPr>
          <w:rFonts w:hint="eastAsia" w:ascii="方正仿宋_GBK" w:hAnsi="宋体" w:eastAsia="方正仿宋_GBK" w:cs="宋体"/>
          <w:kern w:val="0"/>
          <w:sz w:val="32"/>
          <w:szCs w:val="32"/>
        </w:rPr>
        <w:t>.报考专业技术</w:t>
      </w:r>
      <w:r>
        <w:rPr>
          <w:rFonts w:hint="eastAsia" w:ascii="Times New Roman" w:hAnsi="Times New Roman" w:eastAsia="方正仿宋_GBK" w:cs="宋体"/>
          <w:kern w:val="0"/>
          <w:sz w:val="32"/>
          <w:szCs w:val="32"/>
        </w:rPr>
        <w:t>3000131</w:t>
      </w:r>
      <w:r>
        <w:rPr>
          <w:rFonts w:hint="eastAsia" w:ascii="方正仿宋_GBK" w:hAnsi="宋体" w:eastAsia="方正仿宋_GBK" w:cs="宋体"/>
          <w:kern w:val="0"/>
          <w:sz w:val="32"/>
          <w:szCs w:val="32"/>
        </w:rPr>
        <w:t>和专业技术</w:t>
      </w:r>
      <w:r>
        <w:rPr>
          <w:rFonts w:hint="eastAsia" w:ascii="Times New Roman" w:hAnsi="Times New Roman" w:eastAsia="方正仿宋_GBK" w:cs="宋体"/>
          <w:kern w:val="0"/>
          <w:sz w:val="32"/>
          <w:szCs w:val="32"/>
        </w:rPr>
        <w:t>3000132</w:t>
      </w:r>
      <w:r>
        <w:rPr>
          <w:rFonts w:hint="eastAsia" w:ascii="方正仿宋_GBK" w:hAnsi="宋体" w:eastAsia="方正仿宋_GBK" w:cs="宋体"/>
          <w:kern w:val="0"/>
          <w:sz w:val="32"/>
          <w:szCs w:val="32"/>
        </w:rPr>
        <w:t>岗位的考生须提供该岗位招聘公告要求的相关工作经历证明材料。</w:t>
      </w:r>
    </w:p>
    <w:p>
      <w:pPr>
        <w:widowControl/>
        <w:adjustRightInd w:val="0"/>
        <w:spacing w:line="59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资格复审依据招聘公告规定的报考资格条件和应聘人员网上报名时提供的照片与信息等相关材料进行审核。对资格复审合格的报考人员，发放专业测试通知书。凡与报考资格条件要求不符或不能按规定提供证件材料的，取消其参加专业测试资格。由此出现人选缺额的，依笔试成绩从高分到低分，依次等额递补，且距本中心专业测试前</w:t>
      </w:r>
      <w:r>
        <w:rPr>
          <w:rFonts w:hint="eastAsia" w:ascii="Times New Roman" w:hAnsi="Times New Roman" w:eastAsia="方正仿宋_GBK" w:cs="宋体"/>
          <w:kern w:val="0"/>
          <w:sz w:val="32"/>
          <w:szCs w:val="32"/>
        </w:rPr>
        <w:t>5</w:t>
      </w:r>
      <w:r>
        <w:rPr>
          <w:rFonts w:hint="eastAsia" w:ascii="方正仿宋_GBK" w:hAnsi="宋体" w:eastAsia="方正仿宋_GBK" w:cs="宋体"/>
          <w:kern w:val="0"/>
          <w:sz w:val="32"/>
          <w:szCs w:val="32"/>
        </w:rPr>
        <w:t>个工作日截止，不再等额递补。</w:t>
      </w:r>
    </w:p>
    <w:p>
      <w:pPr>
        <w:widowControl/>
        <w:spacing w:line="59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p>
    <w:p>
      <w:pPr>
        <w:widowControl/>
        <w:spacing w:line="590" w:lineRule="exact"/>
        <w:ind w:left="1590" w:leftChars="300" w:hanging="960" w:hangingChars="3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w:t>
      </w:r>
      <w:r>
        <w:rPr>
          <w:rFonts w:hint="eastAsia" w:ascii="Times New Roman" w:hAnsi="Times New Roman" w:eastAsia="方正仿宋_GBK" w:cs="宋体"/>
          <w:kern w:val="0"/>
          <w:sz w:val="32"/>
          <w:szCs w:val="32"/>
        </w:rPr>
        <w:t>2023</w:t>
      </w:r>
      <w:r>
        <w:rPr>
          <w:rFonts w:hint="eastAsia" w:ascii="方正仿宋_GBK" w:hAnsi="宋体" w:eastAsia="方正仿宋_GBK" w:cs="宋体"/>
          <w:kern w:val="0"/>
          <w:sz w:val="32"/>
          <w:szCs w:val="32"/>
        </w:rPr>
        <w:t>年安徽省科技评估与监管中心公开招聘人员资格复审名单</w:t>
      </w:r>
    </w:p>
    <w:p>
      <w:pPr>
        <w:widowControl/>
        <w:spacing w:line="590" w:lineRule="exact"/>
        <w:ind w:firstLine="640" w:firstLineChars="200"/>
        <w:jc w:val="left"/>
        <w:rPr>
          <w:rFonts w:ascii="方正仿宋_GBK" w:hAnsi="宋体" w:eastAsia="方正仿宋_GBK" w:cs="宋体"/>
          <w:kern w:val="0"/>
          <w:sz w:val="32"/>
          <w:szCs w:val="32"/>
        </w:rPr>
      </w:pPr>
    </w:p>
    <w:p>
      <w:pPr>
        <w:spacing w:line="590" w:lineRule="exact"/>
        <w:ind w:firstLine="640" w:firstLineChars="200"/>
        <w:jc w:val="center"/>
        <w:rPr>
          <w:rFonts w:ascii="方正仿宋_GBK" w:hAnsi="仿宋" w:eastAsia="方正仿宋_GBK" w:cs="仿宋"/>
          <w:sz w:val="32"/>
          <w:szCs w:val="32"/>
        </w:rPr>
      </w:pPr>
      <w:bookmarkStart w:id="1" w:name="_GoBack"/>
      <w:bookmarkEnd w:id="1"/>
    </w:p>
    <w:p>
      <w:pPr>
        <w:spacing w:line="590" w:lineRule="exact"/>
        <w:ind w:firstLine="640" w:firstLineChars="200"/>
        <w:rPr>
          <w:rFonts w:ascii="仿宋" w:hAnsi="仿宋" w:eastAsia="仿宋" w:cs="仿宋"/>
          <w:sz w:val="32"/>
          <w:szCs w:val="32"/>
        </w:rPr>
      </w:pPr>
    </w:p>
    <w:p>
      <w:pPr>
        <w:spacing w:line="590" w:lineRule="exact"/>
        <w:ind w:firstLine="640" w:firstLineChars="200"/>
        <w:rPr>
          <w:rFonts w:ascii="仿宋" w:hAnsi="仿宋" w:eastAsia="仿宋" w:cs="仿宋"/>
          <w:sz w:val="32"/>
          <w:szCs w:val="32"/>
        </w:rPr>
      </w:pPr>
    </w:p>
    <w:p>
      <w:pPr>
        <w:spacing w:line="590" w:lineRule="exact"/>
        <w:ind w:firstLine="640" w:firstLineChars="200"/>
        <w:rPr>
          <w:rFonts w:ascii="仿宋" w:hAnsi="仿宋" w:eastAsia="仿宋" w:cs="仿宋"/>
          <w:sz w:val="32"/>
          <w:szCs w:val="32"/>
        </w:rPr>
      </w:pPr>
    </w:p>
    <w:p>
      <w:pPr>
        <w:spacing w:line="590" w:lineRule="exact"/>
        <w:ind w:firstLine="640" w:firstLineChars="200"/>
        <w:rPr>
          <w:rFonts w:ascii="仿宋" w:hAnsi="仿宋" w:eastAsia="仿宋" w:cs="仿宋"/>
          <w:sz w:val="32"/>
          <w:szCs w:val="32"/>
        </w:rPr>
      </w:pPr>
    </w:p>
    <w:p>
      <w:pPr>
        <w:spacing w:line="590" w:lineRule="exact"/>
        <w:ind w:firstLine="640" w:firstLineChars="200"/>
        <w:rPr>
          <w:rFonts w:ascii="仿宋" w:hAnsi="仿宋" w:eastAsia="仿宋" w:cs="仿宋"/>
          <w:sz w:val="32"/>
          <w:szCs w:val="32"/>
        </w:rPr>
      </w:pPr>
    </w:p>
    <w:p>
      <w:pPr>
        <w:spacing w:line="590" w:lineRule="exact"/>
        <w:ind w:firstLine="640" w:firstLineChars="200"/>
        <w:rPr>
          <w:rFonts w:ascii="仿宋" w:hAnsi="仿宋" w:eastAsia="仿宋" w:cs="仿宋"/>
          <w:sz w:val="32"/>
          <w:szCs w:val="32"/>
        </w:rPr>
      </w:pPr>
    </w:p>
    <w:p>
      <w:pPr>
        <w:widowControl/>
        <w:jc w:val="left"/>
        <w:rPr>
          <w:rFonts w:ascii="仿宋" w:hAnsi="仿宋" w:eastAsia="仿宋" w:cs="仿宋"/>
          <w:sz w:val="32"/>
          <w:szCs w:val="32"/>
        </w:rPr>
      </w:pPr>
      <w:r>
        <w:rPr>
          <w:rFonts w:ascii="仿宋" w:hAnsi="仿宋" w:eastAsia="仿宋" w:cs="仿宋"/>
          <w:sz w:val="32"/>
          <w:szCs w:val="32"/>
        </w:rPr>
        <w:br w:type="page"/>
      </w:r>
    </w:p>
    <w:p>
      <w:pPr>
        <w:spacing w:line="590" w:lineRule="exact"/>
        <w:jc w:val="left"/>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附件</w:t>
      </w:r>
    </w:p>
    <w:p>
      <w:pPr>
        <w:spacing w:line="590" w:lineRule="exact"/>
        <w:jc w:val="center"/>
        <w:rPr>
          <w:rFonts w:ascii="方正小标宋_GBK" w:hAnsi="宋体" w:eastAsia="方正小标宋_GBK" w:cs="宋体"/>
          <w:bCs/>
          <w:sz w:val="44"/>
          <w:szCs w:val="44"/>
        </w:rPr>
      </w:pPr>
      <w:r>
        <w:rPr>
          <w:rFonts w:hint="eastAsia" w:ascii="Times New Roman" w:hAnsi="Times New Roman" w:eastAsia="方正小标宋_GBK" w:cs="宋体"/>
          <w:bCs/>
          <w:sz w:val="44"/>
          <w:szCs w:val="44"/>
        </w:rPr>
        <w:t>2023</w:t>
      </w:r>
      <w:r>
        <w:rPr>
          <w:rFonts w:hint="eastAsia" w:ascii="方正小标宋_GBK" w:hAnsi="宋体" w:eastAsia="方正小标宋_GBK" w:cs="宋体"/>
          <w:bCs/>
          <w:sz w:val="44"/>
          <w:szCs w:val="44"/>
        </w:rPr>
        <w:t>年安徽省科技评估与监管中心</w:t>
      </w:r>
    </w:p>
    <w:p>
      <w:pPr>
        <w:spacing w:after="156" w:afterLines="50" w:line="59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sz w:val="44"/>
          <w:szCs w:val="44"/>
        </w:rPr>
        <w:t>公开招聘人员资格复审</w:t>
      </w:r>
      <w:r>
        <w:fldChar w:fldCharType="begin"/>
      </w:r>
      <w:r>
        <w:instrText xml:space="preserve"> HYPERLINK "http://www.ahkjt.gov.cn/rootfiles/2012/06/05/1333181232447107-1333181232454402.xls" \t "CMSFILEINCONTENT" </w:instrText>
      </w:r>
      <w:r>
        <w:fldChar w:fldCharType="separate"/>
      </w:r>
      <w:r>
        <w:rPr>
          <w:rFonts w:hint="eastAsia" w:ascii="方正小标宋_GBK" w:hAnsi="宋体" w:eastAsia="方正小标宋_GBK" w:cs="宋体"/>
          <w:bCs/>
          <w:kern w:val="0"/>
          <w:sz w:val="44"/>
          <w:szCs w:val="44"/>
        </w:rPr>
        <w:t>名单</w:t>
      </w:r>
      <w:r>
        <w:rPr>
          <w:rFonts w:hint="eastAsia" w:ascii="方正小标宋_GBK" w:hAnsi="宋体" w:eastAsia="方正小标宋_GBK" w:cs="宋体"/>
          <w:bCs/>
          <w:kern w:val="0"/>
          <w:sz w:val="44"/>
          <w:szCs w:val="44"/>
        </w:rPr>
        <w:fldChar w:fldCharType="end"/>
      </w:r>
    </w:p>
    <w:tbl>
      <w:tblPr>
        <w:tblStyle w:val="7"/>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78"/>
        <w:gridCol w:w="1418"/>
        <w:gridCol w:w="1231"/>
        <w:gridCol w:w="2459"/>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jc w:val="center"/>
        </w:trPr>
        <w:tc>
          <w:tcPr>
            <w:tcW w:w="1478" w:type="dxa"/>
            <w:vAlign w:val="center"/>
          </w:tcPr>
          <w:p>
            <w:pPr>
              <w:widowControl/>
              <w:spacing w:line="300" w:lineRule="exact"/>
              <w:jc w:val="center"/>
              <w:textAlignment w:val="bottom"/>
              <w:rPr>
                <w:rFonts w:ascii="方正黑体_GBK" w:eastAsia="方正黑体_GBK" w:cs="Arial" w:hAnsiTheme="minorEastAsia"/>
                <w:kern w:val="0"/>
                <w:sz w:val="24"/>
              </w:rPr>
            </w:pPr>
            <w:r>
              <w:rPr>
                <w:rFonts w:hint="eastAsia" w:ascii="方正黑体_GBK" w:eastAsia="方正黑体_GBK" w:cs="Arial" w:hAnsiTheme="minorEastAsia"/>
                <w:kern w:val="0"/>
                <w:sz w:val="24"/>
              </w:rPr>
              <w:t>岗位名称</w:t>
            </w:r>
          </w:p>
        </w:tc>
        <w:tc>
          <w:tcPr>
            <w:tcW w:w="1418" w:type="dxa"/>
            <w:vAlign w:val="center"/>
          </w:tcPr>
          <w:p>
            <w:pPr>
              <w:widowControl/>
              <w:spacing w:line="300" w:lineRule="exact"/>
              <w:jc w:val="center"/>
              <w:textAlignment w:val="bottom"/>
              <w:rPr>
                <w:rFonts w:ascii="方正黑体_GBK" w:eastAsia="方正黑体_GBK" w:cs="Arial" w:hAnsiTheme="minorEastAsia"/>
                <w:kern w:val="0"/>
                <w:sz w:val="24"/>
              </w:rPr>
            </w:pPr>
            <w:r>
              <w:rPr>
                <w:rFonts w:hint="eastAsia" w:ascii="方正黑体_GBK" w:eastAsia="方正黑体_GBK" w:cs="Arial" w:hAnsiTheme="minorEastAsia"/>
                <w:kern w:val="0"/>
                <w:sz w:val="24"/>
              </w:rPr>
              <w:t>岗位代码</w:t>
            </w:r>
          </w:p>
        </w:tc>
        <w:tc>
          <w:tcPr>
            <w:tcW w:w="1231" w:type="dxa"/>
            <w:vAlign w:val="center"/>
          </w:tcPr>
          <w:p>
            <w:pPr>
              <w:widowControl/>
              <w:spacing w:line="300" w:lineRule="exact"/>
              <w:jc w:val="center"/>
              <w:textAlignment w:val="bottom"/>
              <w:rPr>
                <w:rFonts w:ascii="方正黑体_GBK" w:eastAsia="方正黑体_GBK" w:cs="Arial" w:hAnsiTheme="minorEastAsia"/>
                <w:kern w:val="0"/>
                <w:sz w:val="24"/>
              </w:rPr>
            </w:pPr>
            <w:r>
              <w:rPr>
                <w:rFonts w:hint="eastAsia" w:ascii="方正黑体_GBK" w:eastAsia="方正黑体_GBK" w:cs="Arial" w:hAnsiTheme="minorEastAsia"/>
                <w:kern w:val="0"/>
                <w:sz w:val="24"/>
              </w:rPr>
              <w:t>聘用人数</w:t>
            </w:r>
          </w:p>
        </w:tc>
        <w:tc>
          <w:tcPr>
            <w:tcW w:w="2459" w:type="dxa"/>
            <w:vAlign w:val="center"/>
          </w:tcPr>
          <w:p>
            <w:pPr>
              <w:widowControl/>
              <w:spacing w:line="300" w:lineRule="exact"/>
              <w:jc w:val="center"/>
              <w:textAlignment w:val="bottom"/>
              <w:rPr>
                <w:rFonts w:ascii="方正黑体_GBK" w:eastAsia="方正黑体_GBK" w:cs="Arial" w:hAnsiTheme="minorEastAsia"/>
                <w:kern w:val="0"/>
                <w:sz w:val="24"/>
              </w:rPr>
            </w:pPr>
            <w:r>
              <w:rPr>
                <w:rFonts w:hint="eastAsia" w:ascii="方正黑体_GBK" w:eastAsia="方正黑体_GBK" w:cs="Arial" w:hAnsiTheme="minorEastAsia"/>
                <w:kern w:val="0"/>
                <w:sz w:val="24"/>
              </w:rPr>
              <w:t>准考证号</w:t>
            </w:r>
          </w:p>
        </w:tc>
        <w:tc>
          <w:tcPr>
            <w:tcW w:w="1652" w:type="dxa"/>
            <w:vAlign w:val="center"/>
          </w:tcPr>
          <w:p>
            <w:pPr>
              <w:widowControl/>
              <w:spacing w:line="300" w:lineRule="exact"/>
              <w:jc w:val="center"/>
              <w:textAlignment w:val="bottom"/>
              <w:rPr>
                <w:rFonts w:ascii="方正黑体_GBK" w:eastAsia="方正黑体_GBK" w:cs="Arial" w:hAnsiTheme="minorEastAsia"/>
                <w:kern w:val="0"/>
                <w:sz w:val="24"/>
              </w:rPr>
            </w:pPr>
            <w:r>
              <w:rPr>
                <w:rFonts w:hint="eastAsia" w:ascii="方正黑体_GBK" w:eastAsia="方正黑体_GBK" w:cs="Arial" w:hAnsiTheme="minorEastAsia"/>
                <w:kern w:val="0"/>
                <w:sz w:val="24"/>
              </w:rPr>
              <w:t>笔试成绩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restart"/>
            <w:vAlign w:val="center"/>
          </w:tcPr>
          <w:p>
            <w:pPr>
              <w:widowControl/>
              <w:spacing w:line="500" w:lineRule="exact"/>
              <w:jc w:val="center"/>
              <w:textAlignment w:val="bottom"/>
              <w:rPr>
                <w:rFonts w:cs="Arial" w:asciiTheme="minorEastAsia" w:hAnsiTheme="minorEastAsia" w:eastAsiaTheme="minorEastAsia"/>
                <w:kern w:val="0"/>
                <w:sz w:val="24"/>
              </w:rPr>
            </w:pPr>
            <w:r>
              <w:rPr>
                <w:rFonts w:cs="Arial" w:asciiTheme="minorEastAsia" w:hAnsiTheme="minorEastAsia" w:eastAsiaTheme="minorEastAsia"/>
                <w:kern w:val="0"/>
                <w:sz w:val="24"/>
              </w:rPr>
              <w:t>专业技术</w:t>
            </w:r>
          </w:p>
        </w:tc>
        <w:tc>
          <w:tcPr>
            <w:tcW w:w="1418" w:type="dxa"/>
            <w:vMerge w:val="restart"/>
            <w:vAlign w:val="center"/>
          </w:tcPr>
          <w:p>
            <w:pPr>
              <w:widowControl/>
              <w:spacing w:line="500" w:lineRule="exact"/>
              <w:jc w:val="center"/>
              <w:textAlignment w:val="bottom"/>
              <w:rPr>
                <w:rFonts w:cs="Arial" w:asciiTheme="minorEastAsia" w:hAnsiTheme="minorEastAsia" w:eastAsiaTheme="minorEastAsia"/>
                <w:color w:val="000000"/>
                <w:sz w:val="24"/>
              </w:rPr>
            </w:pPr>
            <w:r>
              <w:rPr>
                <w:rFonts w:ascii="Times New Roman" w:hAnsi="Times New Roman" w:cs="Arial" w:eastAsiaTheme="minorEastAsia"/>
                <w:color w:val="000000"/>
                <w:sz w:val="24"/>
              </w:rPr>
              <w:t>3000130</w:t>
            </w:r>
          </w:p>
        </w:tc>
        <w:tc>
          <w:tcPr>
            <w:tcW w:w="1231" w:type="dxa"/>
            <w:vMerge w:val="restart"/>
            <w:vAlign w:val="center"/>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kern w:val="0"/>
                <w:sz w:val="24"/>
              </w:rPr>
              <w:t>1</w:t>
            </w: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1134301201723</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213</w:t>
            </w:r>
            <w:r>
              <w:rPr>
                <w:rFonts w:cs="Arial" w:asciiTheme="minorEastAsia" w:hAnsiTheme="minorEastAsia" w:eastAsiaTheme="minorEastAsia"/>
                <w:sz w:val="24"/>
              </w:rPr>
              <w:t>.</w:t>
            </w:r>
            <w:r>
              <w:rPr>
                <w:rFonts w:ascii="Times New Roman" w:hAnsi="Times New Roman" w:cs="Arial"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1134301201721</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1134301201805</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209</w:t>
            </w:r>
            <w:r>
              <w:rPr>
                <w:rFonts w:cs="Arial" w:asciiTheme="minorEastAsia" w:hAnsiTheme="minorEastAsia" w:eastAsiaTheme="minorEastAsia"/>
                <w:sz w:val="24"/>
              </w:rPr>
              <w:t>.</w:t>
            </w:r>
            <w:r>
              <w:rPr>
                <w:rFonts w:ascii="Times New Roman" w:hAnsi="Times New Roman" w:cs="Arial"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1134301201807</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1134301201719</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204</w:t>
            </w:r>
            <w:r>
              <w:rPr>
                <w:rFonts w:cs="Arial" w:asciiTheme="minorEastAsia" w:hAnsiTheme="minorEastAsia" w:eastAsiaTheme="minorEastAsia"/>
                <w:sz w:val="24"/>
              </w:rPr>
              <w:t>.</w:t>
            </w:r>
            <w:r>
              <w:rPr>
                <w:rFonts w:ascii="Times New Roman" w:hAnsi="Times New Roman" w:cs="Arial"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sz w:val="24"/>
              </w:rPr>
            </w:pPr>
            <w:r>
              <w:rPr>
                <w:rFonts w:ascii="Times New Roman" w:hAnsi="Times New Roman" w:cs="Arial" w:eastAsiaTheme="minorEastAsia"/>
                <w:sz w:val="24"/>
              </w:rPr>
              <w:t>1134301201722</w:t>
            </w:r>
          </w:p>
        </w:tc>
        <w:tc>
          <w:tcPr>
            <w:tcW w:w="1652" w:type="dxa"/>
            <w:vAlign w:val="bottom"/>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kern w:val="0"/>
                <w:sz w:val="24"/>
              </w:rPr>
              <w:t>204</w:t>
            </w:r>
            <w:r>
              <w:rPr>
                <w:rFonts w:cs="Arial" w:asciiTheme="minorEastAsia" w:hAnsiTheme="minorEastAsia" w:eastAsiaTheme="minorEastAsia"/>
                <w:kern w:val="0"/>
                <w:sz w:val="24"/>
              </w:rPr>
              <w:t>.</w:t>
            </w:r>
            <w:r>
              <w:rPr>
                <w:rFonts w:ascii="Times New Roman" w:hAnsi="Times New Roman" w:cs="Arial" w:eastAsiaTheme="minorEastAsia"/>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restart"/>
            <w:vAlign w:val="center"/>
          </w:tcPr>
          <w:p>
            <w:pPr>
              <w:widowControl/>
              <w:spacing w:line="500" w:lineRule="exact"/>
              <w:jc w:val="center"/>
              <w:textAlignment w:val="bottom"/>
              <w:rPr>
                <w:rFonts w:cs="Arial" w:asciiTheme="minorEastAsia" w:hAnsiTheme="minorEastAsia" w:eastAsiaTheme="minorEastAsia"/>
                <w:kern w:val="0"/>
                <w:sz w:val="24"/>
              </w:rPr>
            </w:pPr>
            <w:r>
              <w:rPr>
                <w:rFonts w:cs="Arial" w:asciiTheme="minorEastAsia" w:hAnsiTheme="minorEastAsia" w:eastAsiaTheme="minorEastAsia"/>
                <w:kern w:val="0"/>
                <w:sz w:val="24"/>
              </w:rPr>
              <w:t>专业技术</w:t>
            </w:r>
          </w:p>
        </w:tc>
        <w:tc>
          <w:tcPr>
            <w:tcW w:w="1418" w:type="dxa"/>
            <w:vMerge w:val="restart"/>
            <w:vAlign w:val="center"/>
          </w:tcPr>
          <w:p>
            <w:pPr>
              <w:widowControl/>
              <w:spacing w:line="500" w:lineRule="exact"/>
              <w:jc w:val="center"/>
              <w:textAlignment w:val="bottom"/>
              <w:rPr>
                <w:rFonts w:cs="Arial" w:asciiTheme="minorEastAsia" w:hAnsiTheme="minorEastAsia" w:eastAsiaTheme="minorEastAsia"/>
                <w:color w:val="000000"/>
                <w:sz w:val="24"/>
              </w:rPr>
            </w:pPr>
            <w:r>
              <w:rPr>
                <w:rFonts w:ascii="Times New Roman" w:hAnsi="Times New Roman" w:cs="Arial" w:eastAsiaTheme="minorEastAsia"/>
                <w:color w:val="000000"/>
                <w:sz w:val="24"/>
              </w:rPr>
              <w:t>3000131</w:t>
            </w:r>
          </w:p>
        </w:tc>
        <w:tc>
          <w:tcPr>
            <w:tcW w:w="1231" w:type="dxa"/>
            <w:vMerge w:val="restart"/>
            <w:vAlign w:val="center"/>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kern w:val="0"/>
                <w:sz w:val="24"/>
              </w:rPr>
              <w:t>1</w:t>
            </w: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1134301201825</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214</w:t>
            </w:r>
            <w:r>
              <w:rPr>
                <w:rFonts w:cs="Arial" w:asciiTheme="minorEastAsia" w:hAnsiTheme="minorEastAsia" w:eastAsiaTheme="minorEastAsia"/>
                <w:sz w:val="24"/>
              </w:rPr>
              <w:t>.</w:t>
            </w:r>
            <w:r>
              <w:rPr>
                <w:rFonts w:ascii="Times New Roman" w:hAnsi="Times New Roman" w:cs="Arial"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1134301201924</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1134301201901</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203</w:t>
            </w:r>
            <w:r>
              <w:rPr>
                <w:rFonts w:cs="Arial" w:asciiTheme="minorEastAsia" w:hAnsiTheme="minorEastAsia" w:eastAsiaTheme="minorEastAsia"/>
                <w:sz w:val="24"/>
              </w:rPr>
              <w:t>.</w:t>
            </w:r>
            <w:r>
              <w:rPr>
                <w:rFonts w:ascii="Times New Roman" w:hAnsi="Times New Roman" w:cs="Arial"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1134301201826</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1134301201907</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restart"/>
            <w:vAlign w:val="center"/>
          </w:tcPr>
          <w:p>
            <w:pPr>
              <w:widowControl/>
              <w:spacing w:line="500" w:lineRule="exact"/>
              <w:jc w:val="center"/>
              <w:textAlignment w:val="bottom"/>
              <w:rPr>
                <w:rFonts w:cs="Arial" w:asciiTheme="minorEastAsia" w:hAnsiTheme="minorEastAsia" w:eastAsiaTheme="minorEastAsia"/>
                <w:kern w:val="0"/>
                <w:sz w:val="24"/>
              </w:rPr>
            </w:pPr>
            <w:r>
              <w:rPr>
                <w:rFonts w:cs="Arial" w:asciiTheme="minorEastAsia" w:hAnsiTheme="minorEastAsia" w:eastAsiaTheme="minorEastAsia"/>
                <w:kern w:val="0"/>
                <w:sz w:val="24"/>
              </w:rPr>
              <w:t>专业技术</w:t>
            </w:r>
          </w:p>
        </w:tc>
        <w:tc>
          <w:tcPr>
            <w:tcW w:w="1418" w:type="dxa"/>
            <w:vMerge w:val="restart"/>
            <w:vAlign w:val="center"/>
          </w:tcPr>
          <w:p>
            <w:pPr>
              <w:widowControl/>
              <w:spacing w:line="500" w:lineRule="exact"/>
              <w:jc w:val="center"/>
              <w:textAlignment w:val="bottom"/>
              <w:rPr>
                <w:rFonts w:cs="Arial" w:asciiTheme="minorEastAsia" w:hAnsiTheme="minorEastAsia" w:eastAsiaTheme="minorEastAsia"/>
                <w:color w:val="000000"/>
                <w:sz w:val="24"/>
              </w:rPr>
            </w:pPr>
            <w:r>
              <w:rPr>
                <w:rFonts w:ascii="Times New Roman" w:hAnsi="Times New Roman" w:cs="Arial" w:eastAsiaTheme="minorEastAsia"/>
                <w:color w:val="000000"/>
                <w:sz w:val="24"/>
              </w:rPr>
              <w:t>3000132</w:t>
            </w:r>
          </w:p>
        </w:tc>
        <w:tc>
          <w:tcPr>
            <w:tcW w:w="1231" w:type="dxa"/>
            <w:vMerge w:val="restart"/>
            <w:vAlign w:val="center"/>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kern w:val="0"/>
                <w:sz w:val="24"/>
              </w:rPr>
              <w:t>1</w:t>
            </w: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1134301201930</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183</w:t>
            </w:r>
            <w:r>
              <w:rPr>
                <w:rFonts w:cs="Arial" w:asciiTheme="minorEastAsia" w:hAnsiTheme="minorEastAsia" w:eastAsiaTheme="minorEastAsia"/>
                <w:sz w:val="24"/>
              </w:rPr>
              <w:t>.</w:t>
            </w:r>
            <w:r>
              <w:rPr>
                <w:rFonts w:ascii="Times New Roman" w:hAnsi="Times New Roman" w:cs="Arial"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1134301202002</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180</w:t>
            </w:r>
            <w:r>
              <w:rPr>
                <w:rFonts w:cs="Arial" w:asciiTheme="minorEastAsia" w:hAnsiTheme="minorEastAsia" w:eastAsiaTheme="minorEastAsia"/>
                <w:sz w:val="24"/>
              </w:rPr>
              <w:t>.</w:t>
            </w:r>
            <w:r>
              <w:rPr>
                <w:rFonts w:ascii="Times New Roman" w:hAnsi="Times New Roman" w:cs="Arial"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1134301202003</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179</w:t>
            </w:r>
            <w:r>
              <w:rPr>
                <w:rFonts w:cs="Arial" w:asciiTheme="minorEastAsia" w:hAnsiTheme="minorEastAsia" w:eastAsiaTheme="minorEastAsia"/>
                <w:sz w:val="24"/>
              </w:rPr>
              <w:t>.</w:t>
            </w:r>
            <w:r>
              <w:rPr>
                <w:rFonts w:ascii="Times New Roman" w:hAnsi="Times New Roman" w:cs="Arial" w:eastAsia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3" w:hRule="atLeast"/>
          <w:jc w:val="center"/>
        </w:trPr>
        <w:tc>
          <w:tcPr>
            <w:tcW w:w="1478" w:type="dxa"/>
            <w:vMerge w:val="continue"/>
          </w:tcPr>
          <w:p>
            <w:pPr>
              <w:widowControl/>
              <w:spacing w:line="500" w:lineRule="exact"/>
              <w:jc w:val="center"/>
              <w:textAlignment w:val="bottom"/>
              <w:rPr>
                <w:rFonts w:cs="Arial" w:asciiTheme="minorEastAsia" w:hAnsiTheme="minorEastAsia" w:eastAsiaTheme="minorEastAsia"/>
                <w:kern w:val="0"/>
                <w:sz w:val="24"/>
              </w:rPr>
            </w:pPr>
          </w:p>
        </w:tc>
        <w:tc>
          <w:tcPr>
            <w:tcW w:w="1418" w:type="dxa"/>
            <w:vMerge w:val="continue"/>
            <w:vAlign w:val="center"/>
          </w:tcPr>
          <w:p>
            <w:pPr>
              <w:widowControl/>
              <w:spacing w:line="500" w:lineRule="exact"/>
              <w:jc w:val="center"/>
              <w:textAlignment w:val="bottom"/>
              <w:rPr>
                <w:rFonts w:cs="Arial" w:asciiTheme="minorEastAsia" w:hAnsiTheme="minorEastAsia" w:eastAsiaTheme="minorEastAsia"/>
                <w:color w:val="000000"/>
                <w:sz w:val="24"/>
              </w:rPr>
            </w:pPr>
          </w:p>
        </w:tc>
        <w:tc>
          <w:tcPr>
            <w:tcW w:w="1231" w:type="dxa"/>
            <w:vMerge w:val="continue"/>
            <w:vAlign w:val="center"/>
          </w:tcPr>
          <w:p>
            <w:pPr>
              <w:widowControl/>
              <w:spacing w:line="500" w:lineRule="exact"/>
              <w:jc w:val="center"/>
              <w:textAlignment w:val="bottom"/>
              <w:rPr>
                <w:rFonts w:cs="Arial" w:asciiTheme="minorEastAsia" w:hAnsiTheme="minorEastAsia" w:eastAsiaTheme="minorEastAsia"/>
                <w:kern w:val="0"/>
                <w:sz w:val="24"/>
              </w:rPr>
            </w:pPr>
          </w:p>
        </w:tc>
        <w:tc>
          <w:tcPr>
            <w:tcW w:w="2459"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1134301201929</w:t>
            </w:r>
          </w:p>
        </w:tc>
        <w:tc>
          <w:tcPr>
            <w:tcW w:w="1652" w:type="dxa"/>
          </w:tcPr>
          <w:p>
            <w:pPr>
              <w:widowControl/>
              <w:spacing w:line="500" w:lineRule="exact"/>
              <w:jc w:val="center"/>
              <w:textAlignment w:val="bottom"/>
              <w:rPr>
                <w:rFonts w:cs="Arial" w:asciiTheme="minorEastAsia" w:hAnsiTheme="minorEastAsia" w:eastAsiaTheme="minorEastAsia"/>
                <w:kern w:val="0"/>
                <w:sz w:val="24"/>
              </w:rPr>
            </w:pPr>
            <w:r>
              <w:rPr>
                <w:rFonts w:ascii="Times New Roman" w:hAnsi="Times New Roman" w:cs="Arial" w:eastAsiaTheme="minorEastAsia"/>
                <w:sz w:val="24"/>
              </w:rPr>
              <w:t>179</w:t>
            </w:r>
          </w:p>
        </w:tc>
      </w:tr>
    </w:tbl>
    <w:p>
      <w:pPr>
        <w:widowControl/>
        <w:adjustRightInd w:val="0"/>
        <w:spacing w:line="590" w:lineRule="exact"/>
        <w:ind w:firstLine="560" w:firstLineChars="200"/>
        <w:jc w:val="left"/>
        <w:rPr>
          <w:rFonts w:ascii="方正仿宋_GBK" w:hAnsi="宋体" w:eastAsia="方正仿宋_GBK" w:cs="宋体"/>
          <w:kern w:val="0"/>
          <w:sz w:val="28"/>
          <w:szCs w:val="28"/>
        </w:rPr>
      </w:pPr>
      <w:r>
        <w:rPr>
          <w:rFonts w:hint="eastAsia" w:ascii="方正仿宋_GBK" w:hAnsi="宋体" w:eastAsia="方正仿宋_GBK" w:cs="宋体"/>
          <w:kern w:val="0"/>
          <w:sz w:val="28"/>
          <w:szCs w:val="28"/>
        </w:rPr>
        <w:t>注：以上公布名单人员符合皖人社秘〔</w:t>
      </w:r>
      <w:r>
        <w:rPr>
          <w:rFonts w:hint="eastAsia" w:ascii="Times New Roman" w:hAnsi="Times New Roman" w:eastAsia="方正仿宋_GBK" w:cs="宋体"/>
          <w:kern w:val="0"/>
          <w:sz w:val="28"/>
          <w:szCs w:val="28"/>
        </w:rPr>
        <w:t>2023</w:t>
      </w:r>
      <w:r>
        <w:rPr>
          <w:rFonts w:hint="eastAsia" w:ascii="方正仿宋_GBK" w:hAnsi="宋体" w:eastAsia="方正仿宋_GBK" w:cs="宋体"/>
          <w:kern w:val="0"/>
          <w:sz w:val="28"/>
          <w:szCs w:val="28"/>
        </w:rPr>
        <w:t>〕</w:t>
      </w:r>
      <w:r>
        <w:rPr>
          <w:rFonts w:hint="eastAsia" w:ascii="Times New Roman" w:hAnsi="Times New Roman" w:eastAsia="方正仿宋_GBK" w:cs="宋体"/>
          <w:kern w:val="0"/>
          <w:sz w:val="28"/>
          <w:szCs w:val="28"/>
        </w:rPr>
        <w:t>52</w:t>
      </w:r>
      <w:r>
        <w:rPr>
          <w:rFonts w:hint="eastAsia" w:ascii="方正仿宋_GBK" w:hAnsi="宋体" w:eastAsia="方正仿宋_GBK" w:cs="宋体"/>
          <w:kern w:val="0"/>
          <w:sz w:val="28"/>
          <w:szCs w:val="28"/>
        </w:rPr>
        <w:t>号文件要求笔试成绩达到最低控制合格分数线的规定，其中</w:t>
      </w:r>
      <w:r>
        <w:rPr>
          <w:rFonts w:hint="eastAsia" w:ascii="Times New Roman" w:hAnsi="Times New Roman" w:eastAsia="方正仿宋_GBK" w:cs="宋体"/>
          <w:kern w:val="0"/>
          <w:sz w:val="28"/>
          <w:szCs w:val="28"/>
        </w:rPr>
        <w:t>300130</w:t>
      </w:r>
      <w:r>
        <w:rPr>
          <w:rFonts w:hint="eastAsia" w:ascii="方正仿宋_GBK" w:hAnsi="宋体" w:eastAsia="方正仿宋_GBK" w:cs="宋体"/>
          <w:kern w:val="0"/>
          <w:sz w:val="28"/>
          <w:szCs w:val="28"/>
        </w:rPr>
        <w:t>岗位最后一名有</w:t>
      </w:r>
      <w:r>
        <w:rPr>
          <w:rFonts w:hint="eastAsia" w:ascii="Times New Roman" w:hAnsi="Times New Roman" w:eastAsia="方正仿宋_GBK" w:cs="宋体"/>
          <w:kern w:val="0"/>
          <w:sz w:val="28"/>
          <w:szCs w:val="28"/>
        </w:rPr>
        <w:t>2</w:t>
      </w:r>
      <w:r>
        <w:rPr>
          <w:rFonts w:hint="eastAsia" w:ascii="方正仿宋_GBK" w:hAnsi="宋体" w:eastAsia="方正仿宋_GBK" w:cs="宋体"/>
          <w:kern w:val="0"/>
          <w:sz w:val="28"/>
          <w:szCs w:val="28"/>
        </w:rPr>
        <w:t>名考生笔试成绩相同，一并确定为参加资格复审人员；</w:t>
      </w:r>
      <w:r>
        <w:rPr>
          <w:rFonts w:hint="eastAsia" w:ascii="Times New Roman" w:hAnsi="Times New Roman" w:eastAsia="方正仿宋_GBK" w:cs="宋体"/>
          <w:kern w:val="0"/>
          <w:sz w:val="28"/>
          <w:szCs w:val="28"/>
        </w:rPr>
        <w:t>300132</w:t>
      </w:r>
      <w:r>
        <w:rPr>
          <w:rFonts w:hint="eastAsia" w:ascii="方正仿宋_GBK" w:hAnsi="宋体" w:eastAsia="方正仿宋_GBK" w:cs="宋体"/>
          <w:kern w:val="0"/>
          <w:sz w:val="28"/>
          <w:szCs w:val="28"/>
        </w:rPr>
        <w:t>岗位笔试成绩达到最低控制合格分数线规定仅</w:t>
      </w:r>
      <w:r>
        <w:rPr>
          <w:rFonts w:hint="eastAsia" w:ascii="Times New Roman" w:hAnsi="Times New Roman" w:eastAsia="方正仿宋_GBK" w:cs="宋体"/>
          <w:kern w:val="0"/>
          <w:sz w:val="28"/>
          <w:szCs w:val="28"/>
        </w:rPr>
        <w:t>4</w:t>
      </w:r>
      <w:r>
        <w:rPr>
          <w:rFonts w:hint="eastAsia" w:ascii="方正仿宋_GBK" w:hAnsi="宋体" w:eastAsia="方正仿宋_GBK" w:cs="宋体"/>
          <w:kern w:val="0"/>
          <w:sz w:val="28"/>
          <w:szCs w:val="28"/>
        </w:rPr>
        <w:t xml:space="preserve">人。    </w:t>
      </w:r>
    </w:p>
    <w:sectPr>
      <w:footerReference r:id="rId3" w:type="default"/>
      <w:pgSz w:w="11906" w:h="16838"/>
      <w:pgMar w:top="1871" w:right="1474"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098731"/>
      <w:docPartObj>
        <w:docPartGallery w:val="AutoText"/>
      </w:docPartObj>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MmYzZDk2NmZlYmQ2NWM0YzhiMDA3ZjhmZTc3YzIifQ=="/>
  </w:docVars>
  <w:rsids>
    <w:rsidRoot w:val="738A3CE9"/>
    <w:rsid w:val="0009469A"/>
    <w:rsid w:val="000F4C64"/>
    <w:rsid w:val="00105F74"/>
    <w:rsid w:val="00106ADD"/>
    <w:rsid w:val="00130BC2"/>
    <w:rsid w:val="00136638"/>
    <w:rsid w:val="00180903"/>
    <w:rsid w:val="001E0B29"/>
    <w:rsid w:val="001E7280"/>
    <w:rsid w:val="002B411C"/>
    <w:rsid w:val="002C7B98"/>
    <w:rsid w:val="002F7542"/>
    <w:rsid w:val="003F4913"/>
    <w:rsid w:val="00425E6B"/>
    <w:rsid w:val="004A35B0"/>
    <w:rsid w:val="004E0190"/>
    <w:rsid w:val="0051364B"/>
    <w:rsid w:val="00550035"/>
    <w:rsid w:val="005A4778"/>
    <w:rsid w:val="005B2101"/>
    <w:rsid w:val="00631A60"/>
    <w:rsid w:val="006F6CD3"/>
    <w:rsid w:val="00714051"/>
    <w:rsid w:val="009049B2"/>
    <w:rsid w:val="0091150C"/>
    <w:rsid w:val="00961EDF"/>
    <w:rsid w:val="00B3184B"/>
    <w:rsid w:val="00B70F65"/>
    <w:rsid w:val="00BB45B5"/>
    <w:rsid w:val="00DA1209"/>
    <w:rsid w:val="00DC06AF"/>
    <w:rsid w:val="00DC0938"/>
    <w:rsid w:val="00DD1667"/>
    <w:rsid w:val="00E34D3B"/>
    <w:rsid w:val="00EB7959"/>
    <w:rsid w:val="00EC22DB"/>
    <w:rsid w:val="00F136B5"/>
    <w:rsid w:val="00F36C45"/>
    <w:rsid w:val="00F4230B"/>
    <w:rsid w:val="00F46296"/>
    <w:rsid w:val="00F86D28"/>
    <w:rsid w:val="00F9497B"/>
    <w:rsid w:val="00FA767A"/>
    <w:rsid w:val="00FD0A08"/>
    <w:rsid w:val="01F71963"/>
    <w:rsid w:val="20866AF9"/>
    <w:rsid w:val="22BB5AC1"/>
    <w:rsid w:val="31814BB9"/>
    <w:rsid w:val="323B145F"/>
    <w:rsid w:val="334F676C"/>
    <w:rsid w:val="5B942528"/>
    <w:rsid w:val="5CF01BD4"/>
    <w:rsid w:val="6152566E"/>
    <w:rsid w:val="65B75312"/>
    <w:rsid w:val="68CC65CD"/>
    <w:rsid w:val="6E7E028A"/>
    <w:rsid w:val="71CE367C"/>
    <w:rsid w:val="738A3CE9"/>
    <w:rsid w:val="77221441"/>
    <w:rsid w:val="7E9B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asciiTheme="minorHAnsi" w:hAnsiTheme="minorHAnsi" w:eastAsiaTheme="minorEastAsia"/>
      <w:kern w:val="0"/>
      <w:sz w:val="24"/>
    </w:rPr>
  </w:style>
  <w:style w:type="character" w:customStyle="1" w:styleId="9">
    <w:name w:val="页眉 字符"/>
    <w:basedOn w:val="8"/>
    <w:link w:val="5"/>
    <w:uiPriority w:val="0"/>
    <w:rPr>
      <w:rFonts w:ascii="Calibri" w:hAnsi="Calibri" w:cs="黑体"/>
      <w:kern w:val="2"/>
      <w:sz w:val="18"/>
      <w:szCs w:val="18"/>
    </w:rPr>
  </w:style>
  <w:style w:type="character" w:customStyle="1" w:styleId="10">
    <w:name w:val="页脚 字符"/>
    <w:basedOn w:val="8"/>
    <w:link w:val="4"/>
    <w:uiPriority w:val="99"/>
    <w:rPr>
      <w:rFonts w:ascii="Calibri" w:hAnsi="Calibri" w:cs="黑体"/>
      <w:kern w:val="2"/>
      <w:sz w:val="18"/>
      <w:szCs w:val="18"/>
    </w:rPr>
  </w:style>
  <w:style w:type="character" w:customStyle="1" w:styleId="11">
    <w:name w:val="批注框文本 字符"/>
    <w:basedOn w:val="8"/>
    <w:link w:val="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安徽省科学技术情报研究所</Company>
  <Pages>4</Pages>
  <Words>1248</Words>
  <Characters>1611</Characters>
  <Lines>13</Lines>
  <Paragraphs>3</Paragraphs>
  <TotalTime>9</TotalTime>
  <ScaleCrop>false</ScaleCrop>
  <LinksUpToDate>false</LinksUpToDate>
  <CharactersWithSpaces>1619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2023-06-09T06:44:00Z</dcterms:created>
  <dc:creator>李丹丹</dc:creator>
  <cp:lastModifiedBy>夏河时至</cp:lastModifiedBy>
  <cp:lastPrinted>2023-06-09T07:01:00Z</cp:lastPrinted>
  <dcterms:modified xsi:type="dcterms:W3CDTF">2023-06-09T10:06:49Z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F60D518BA9184FD4B3E1C4F635E24D92_12</vt:lpwstr>
  </property>
</Properties>
</file>